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266" w:rsidRDefault="00A11266" w:rsidP="00A11266">
      <w:pPr>
        <w:jc w:val="center"/>
      </w:pPr>
      <w:r>
        <w:rPr>
          <w:noProof/>
          <w:lang w:eastAsia="en-GB"/>
        </w:rPr>
        <w:drawing>
          <wp:inline distT="0" distB="0" distL="0" distR="0">
            <wp:extent cx="2381711" cy="89366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KF.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81711" cy="893661"/>
                    </a:xfrm>
                    <a:prstGeom prst="rect">
                      <a:avLst/>
                    </a:prstGeom>
                  </pic:spPr>
                </pic:pic>
              </a:graphicData>
            </a:graphic>
          </wp:inline>
        </w:drawing>
      </w:r>
    </w:p>
    <w:p w:rsidR="00A11266" w:rsidRDefault="00A11266" w:rsidP="00A11266">
      <w:pPr>
        <w:jc w:val="center"/>
      </w:pPr>
    </w:p>
    <w:p w:rsidR="00A11266" w:rsidRDefault="00A11266" w:rsidP="00A11266">
      <w:pPr>
        <w:jc w:val="center"/>
      </w:pPr>
    </w:p>
    <w:p w:rsidR="00A11266" w:rsidRDefault="00A11266" w:rsidP="00A11266">
      <w:pPr>
        <w:jc w:val="center"/>
      </w:pPr>
    </w:p>
    <w:p w:rsidR="00A11266" w:rsidRDefault="00A11266" w:rsidP="00A11266">
      <w:pPr>
        <w:jc w:val="center"/>
        <w:rPr>
          <w:sz w:val="56"/>
          <w:szCs w:val="56"/>
        </w:rPr>
      </w:pPr>
      <w:r w:rsidRPr="00A11266">
        <w:rPr>
          <w:sz w:val="56"/>
          <w:szCs w:val="56"/>
        </w:rPr>
        <w:t>Stakeholder Engagement  Strategy</w:t>
      </w:r>
    </w:p>
    <w:p w:rsidR="00A11266" w:rsidRDefault="00A11266" w:rsidP="00A11266">
      <w:pPr>
        <w:jc w:val="center"/>
        <w:rPr>
          <w:sz w:val="56"/>
          <w:szCs w:val="56"/>
        </w:rPr>
      </w:pPr>
    </w:p>
    <w:p w:rsidR="00A11266" w:rsidRDefault="00A11266" w:rsidP="00A11266">
      <w:pPr>
        <w:jc w:val="center"/>
        <w:rPr>
          <w:sz w:val="56"/>
          <w:szCs w:val="56"/>
        </w:rPr>
      </w:pPr>
    </w:p>
    <w:p w:rsidR="00A11266" w:rsidRDefault="00A11266" w:rsidP="00A11266">
      <w:pPr>
        <w:jc w:val="center"/>
        <w:rPr>
          <w:sz w:val="56"/>
          <w:szCs w:val="56"/>
        </w:rPr>
      </w:pPr>
    </w:p>
    <w:p w:rsidR="00A11266" w:rsidRDefault="00A11266" w:rsidP="00A11266">
      <w:pPr>
        <w:jc w:val="center"/>
        <w:rPr>
          <w:sz w:val="56"/>
          <w:szCs w:val="56"/>
        </w:rPr>
      </w:pPr>
    </w:p>
    <w:p w:rsidR="00A11266" w:rsidRDefault="00A11266" w:rsidP="00A11266">
      <w:pPr>
        <w:jc w:val="center"/>
        <w:rPr>
          <w:sz w:val="56"/>
          <w:szCs w:val="56"/>
        </w:rPr>
      </w:pPr>
    </w:p>
    <w:p w:rsidR="00A11266" w:rsidRDefault="00A11266" w:rsidP="00A11266">
      <w:pPr>
        <w:jc w:val="center"/>
        <w:rPr>
          <w:sz w:val="56"/>
          <w:szCs w:val="56"/>
        </w:rPr>
      </w:pPr>
    </w:p>
    <w:p w:rsidR="00A11266" w:rsidRDefault="00A11266" w:rsidP="00A11266">
      <w:pPr>
        <w:jc w:val="center"/>
        <w:rPr>
          <w:sz w:val="56"/>
          <w:szCs w:val="56"/>
        </w:rPr>
      </w:pPr>
    </w:p>
    <w:p w:rsidR="00A11266" w:rsidRDefault="00A11266" w:rsidP="00A11266">
      <w:pPr>
        <w:jc w:val="center"/>
        <w:rPr>
          <w:sz w:val="56"/>
          <w:szCs w:val="56"/>
        </w:rPr>
      </w:pPr>
    </w:p>
    <w:p w:rsidR="00A11266" w:rsidRDefault="00A11266" w:rsidP="00A11266">
      <w:pPr>
        <w:jc w:val="center"/>
        <w:rPr>
          <w:sz w:val="56"/>
          <w:szCs w:val="56"/>
        </w:rPr>
      </w:pPr>
    </w:p>
    <w:p w:rsidR="00A11266" w:rsidRDefault="00A11266" w:rsidP="00A11266">
      <w:pPr>
        <w:jc w:val="center"/>
        <w:rPr>
          <w:sz w:val="56"/>
          <w:szCs w:val="56"/>
        </w:rPr>
      </w:pPr>
    </w:p>
    <w:p w:rsidR="00A11266" w:rsidRDefault="00A11266" w:rsidP="00A11266">
      <w:pPr>
        <w:jc w:val="center"/>
        <w:rPr>
          <w:sz w:val="56"/>
          <w:szCs w:val="56"/>
        </w:rPr>
      </w:pPr>
    </w:p>
    <w:p w:rsidR="00CC2A1E" w:rsidRPr="002549DB" w:rsidRDefault="00CC2A1E" w:rsidP="00CC2A1E">
      <w:pPr>
        <w:rPr>
          <w:b/>
          <w:sz w:val="24"/>
          <w:szCs w:val="24"/>
        </w:rPr>
      </w:pPr>
      <w:r w:rsidRPr="002549DB">
        <w:rPr>
          <w:b/>
          <w:sz w:val="24"/>
          <w:szCs w:val="24"/>
        </w:rPr>
        <w:t xml:space="preserve">INTRODUCTION </w:t>
      </w:r>
    </w:p>
    <w:p w:rsidR="00CC2A1E" w:rsidRPr="002549DB" w:rsidRDefault="00CC2A1E" w:rsidP="00CC2A1E">
      <w:pPr>
        <w:rPr>
          <w:b/>
          <w:sz w:val="24"/>
          <w:szCs w:val="24"/>
        </w:rPr>
      </w:pPr>
      <w:r w:rsidRPr="002549DB">
        <w:rPr>
          <w:b/>
          <w:sz w:val="24"/>
          <w:szCs w:val="24"/>
        </w:rPr>
        <w:t>What is a stakeholder?</w:t>
      </w:r>
    </w:p>
    <w:p w:rsidR="00CC2A1E" w:rsidRPr="00CC2A1E" w:rsidRDefault="00CC2A1E" w:rsidP="00CC2A1E">
      <w:pPr>
        <w:rPr>
          <w:sz w:val="24"/>
          <w:szCs w:val="24"/>
        </w:rPr>
      </w:pPr>
      <w:r w:rsidRPr="00CC2A1E">
        <w:rPr>
          <w:sz w:val="24"/>
          <w:szCs w:val="24"/>
        </w:rPr>
        <w:t xml:space="preserve"> A stakeholder is any individual, groups of individuals or organisations that affect or could be affected by </w:t>
      </w:r>
      <w:r>
        <w:rPr>
          <w:sz w:val="24"/>
          <w:szCs w:val="24"/>
        </w:rPr>
        <w:t xml:space="preserve">BKF Ltd </w:t>
      </w:r>
      <w:r w:rsidRPr="00CC2A1E">
        <w:rPr>
          <w:sz w:val="24"/>
          <w:szCs w:val="24"/>
        </w:rPr>
        <w:t xml:space="preserve">activities and/or performance.   </w:t>
      </w:r>
    </w:p>
    <w:p w:rsidR="00CC2A1E" w:rsidRDefault="00CC2A1E" w:rsidP="00CC2A1E">
      <w:pPr>
        <w:rPr>
          <w:sz w:val="24"/>
          <w:szCs w:val="24"/>
        </w:rPr>
      </w:pPr>
      <w:r w:rsidRPr="00CC2A1E">
        <w:rPr>
          <w:sz w:val="24"/>
          <w:szCs w:val="24"/>
        </w:rPr>
        <w:t>What do we mean by Engagement?</w:t>
      </w:r>
    </w:p>
    <w:p w:rsidR="00CC2A1E" w:rsidRPr="00CC2A1E" w:rsidRDefault="00CC2A1E" w:rsidP="00CC2A1E">
      <w:pPr>
        <w:rPr>
          <w:sz w:val="24"/>
          <w:szCs w:val="24"/>
        </w:rPr>
      </w:pPr>
      <w:r w:rsidRPr="00CC2A1E">
        <w:rPr>
          <w:sz w:val="24"/>
          <w:szCs w:val="24"/>
        </w:rPr>
        <w:t xml:space="preserve"> Engagement isn’t just speaking to people... it is how we listen to what is being said to us and what we do with that information.  How do we allow our stakeholders to influence how we conduct our business and change our policies and procedures?  We listen to what they want and need to change our operations to fit the needs of our stakeholders and provide a better service.   </w:t>
      </w:r>
    </w:p>
    <w:p w:rsidR="00CC2A1E" w:rsidRDefault="00CC2A1E" w:rsidP="00CC2A1E">
      <w:pPr>
        <w:rPr>
          <w:sz w:val="24"/>
          <w:szCs w:val="24"/>
        </w:rPr>
      </w:pPr>
      <w:r w:rsidRPr="00CC2A1E">
        <w:rPr>
          <w:sz w:val="24"/>
          <w:szCs w:val="24"/>
        </w:rPr>
        <w:t xml:space="preserve">Stakeholder engagement is the process by which we involve stakeholders, and engage with them to identify and understand their issues and needs, thereby allowing them to influence our business decision making and business change to provide the highest possible standard of service, and one that fits their requirements. </w:t>
      </w:r>
    </w:p>
    <w:p w:rsidR="00CC2A1E" w:rsidRPr="00CC2A1E" w:rsidRDefault="00CC2A1E" w:rsidP="00CC2A1E">
      <w:pPr>
        <w:rPr>
          <w:sz w:val="24"/>
          <w:szCs w:val="24"/>
        </w:rPr>
      </w:pPr>
      <w:r w:rsidRPr="00CC2A1E">
        <w:rPr>
          <w:sz w:val="24"/>
          <w:szCs w:val="24"/>
        </w:rPr>
        <w:t>If we are engaging with our stakeholders and understanding the environment around us we will be able to identify,</w:t>
      </w:r>
      <w:r>
        <w:rPr>
          <w:sz w:val="24"/>
          <w:szCs w:val="24"/>
        </w:rPr>
        <w:t xml:space="preserve"> how we can best </w:t>
      </w:r>
      <w:r w:rsidRPr="00CC2A1E">
        <w:rPr>
          <w:sz w:val="24"/>
          <w:szCs w:val="24"/>
        </w:rPr>
        <w:t xml:space="preserve">  work together. </w:t>
      </w:r>
    </w:p>
    <w:p w:rsidR="00A11266" w:rsidRPr="002549DB" w:rsidRDefault="00CC2A1E" w:rsidP="00CC2A1E">
      <w:pPr>
        <w:rPr>
          <w:b/>
          <w:sz w:val="24"/>
          <w:szCs w:val="24"/>
        </w:rPr>
      </w:pPr>
      <w:r w:rsidRPr="002549DB">
        <w:rPr>
          <w:b/>
          <w:sz w:val="24"/>
          <w:szCs w:val="24"/>
        </w:rPr>
        <w:t>Stakeholder</w:t>
      </w:r>
    </w:p>
    <w:p w:rsidR="00A11266" w:rsidRPr="00CC2A1E" w:rsidRDefault="00A11266" w:rsidP="00A11266">
      <w:pPr>
        <w:rPr>
          <w:sz w:val="24"/>
          <w:szCs w:val="24"/>
        </w:rPr>
      </w:pPr>
      <w:r w:rsidRPr="00CC2A1E">
        <w:rPr>
          <w:sz w:val="24"/>
          <w:szCs w:val="24"/>
        </w:rPr>
        <w:t xml:space="preserve">Engagement is all about connectedness, or creating a closer relationship with your audience, or in our case, our membership. </w:t>
      </w:r>
    </w:p>
    <w:p w:rsidR="00CC2A1E" w:rsidRDefault="00CC2A1E" w:rsidP="00A11266">
      <w:pPr>
        <w:rPr>
          <w:sz w:val="24"/>
          <w:szCs w:val="24"/>
        </w:rPr>
      </w:pPr>
    </w:p>
    <w:p w:rsidR="00CC2A1E" w:rsidRPr="002549DB" w:rsidRDefault="00CC2A1E" w:rsidP="00CC2A1E">
      <w:pPr>
        <w:rPr>
          <w:b/>
          <w:sz w:val="24"/>
          <w:szCs w:val="24"/>
        </w:rPr>
      </w:pPr>
      <w:r w:rsidRPr="002549DB">
        <w:rPr>
          <w:b/>
          <w:sz w:val="24"/>
          <w:szCs w:val="24"/>
        </w:rPr>
        <w:t xml:space="preserve">AIM OF THE STAKEHOLDER ENGAGEMENT STRATEGY </w:t>
      </w:r>
    </w:p>
    <w:p w:rsidR="00CC2A1E" w:rsidRPr="00CC2A1E" w:rsidRDefault="00CC2A1E" w:rsidP="00CC2A1E">
      <w:pPr>
        <w:rPr>
          <w:sz w:val="24"/>
          <w:szCs w:val="24"/>
        </w:rPr>
      </w:pPr>
      <w:r w:rsidRPr="00CC2A1E">
        <w:rPr>
          <w:sz w:val="24"/>
          <w:szCs w:val="24"/>
        </w:rPr>
        <w:t xml:space="preserve">The aim of our stakeholder engagement strategy is to provide a framework to operate within, to improve the performance of the organisation by seeking out stakeholder input, listening to and acting on stakeholder feedback.  </w:t>
      </w:r>
    </w:p>
    <w:p w:rsidR="00CC2A1E" w:rsidRPr="00CC2A1E" w:rsidRDefault="00CC2A1E" w:rsidP="00CC2A1E">
      <w:pPr>
        <w:rPr>
          <w:sz w:val="24"/>
          <w:szCs w:val="24"/>
        </w:rPr>
      </w:pPr>
      <w:r w:rsidRPr="00CC2A1E">
        <w:rPr>
          <w:sz w:val="24"/>
          <w:szCs w:val="24"/>
        </w:rPr>
        <w:t xml:space="preserve">Stakeholder engagement is used to support both operational and strategic improvements in performance. Ultimately this helps us to deliver a better service for </w:t>
      </w:r>
      <w:r>
        <w:rPr>
          <w:sz w:val="24"/>
          <w:szCs w:val="24"/>
        </w:rPr>
        <w:t xml:space="preserve"> our members </w:t>
      </w:r>
      <w:r w:rsidRPr="00CC2A1E">
        <w:rPr>
          <w:sz w:val="24"/>
          <w:szCs w:val="24"/>
        </w:rPr>
        <w:t xml:space="preserve">now and into the future.  </w:t>
      </w:r>
    </w:p>
    <w:p w:rsidR="00CC2A1E" w:rsidRDefault="00CC2A1E" w:rsidP="00CC2A1E">
      <w:pPr>
        <w:rPr>
          <w:sz w:val="24"/>
          <w:szCs w:val="24"/>
        </w:rPr>
      </w:pPr>
      <w:r w:rsidRPr="00CC2A1E">
        <w:rPr>
          <w:sz w:val="24"/>
          <w:szCs w:val="24"/>
        </w:rPr>
        <w:t>It is critical that our stakeholder engagement activity is embedded into our organisation and is relevant, addressing strategic issues and is focussed in areas where stakeholders can really influence what we do, only then will we establish the level of engagement that will deliver real benefits for both the business and stakeholders.</w:t>
      </w:r>
    </w:p>
    <w:p w:rsidR="000F471F" w:rsidRDefault="000F471F" w:rsidP="00CC2A1E">
      <w:pPr>
        <w:rPr>
          <w:sz w:val="24"/>
          <w:szCs w:val="24"/>
        </w:rPr>
        <w:sectPr w:rsidR="000F471F">
          <w:pgSz w:w="11906" w:h="16838"/>
          <w:pgMar w:top="1440" w:right="1440" w:bottom="1440" w:left="1440" w:header="708" w:footer="708" w:gutter="0"/>
          <w:cols w:space="708"/>
          <w:docGrid w:linePitch="360"/>
        </w:sectPr>
      </w:pPr>
    </w:p>
    <w:p w:rsidR="000F471F" w:rsidRDefault="000F471F" w:rsidP="000F471F">
      <w:pPr>
        <w:jc w:val="center"/>
      </w:pPr>
      <w:r>
        <w:rPr>
          <w:noProof/>
          <w:lang w:eastAsia="en-GB"/>
        </w:rPr>
        <w:drawing>
          <wp:inline distT="0" distB="0" distL="0" distR="0">
            <wp:extent cx="2381711" cy="89366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KF.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81711" cy="893661"/>
                    </a:xfrm>
                    <a:prstGeom prst="rect">
                      <a:avLst/>
                    </a:prstGeom>
                  </pic:spPr>
                </pic:pic>
              </a:graphicData>
            </a:graphic>
          </wp:inline>
        </w:drawing>
      </w:r>
    </w:p>
    <w:p w:rsidR="000F471F" w:rsidRDefault="000F471F" w:rsidP="000F471F">
      <w:pPr>
        <w:jc w:val="center"/>
        <w:rPr>
          <w:b/>
          <w:sz w:val="28"/>
          <w:szCs w:val="28"/>
        </w:rPr>
      </w:pPr>
    </w:p>
    <w:p w:rsidR="000F471F" w:rsidRDefault="000F471F" w:rsidP="000F471F">
      <w:pPr>
        <w:jc w:val="center"/>
        <w:rPr>
          <w:b/>
          <w:sz w:val="28"/>
          <w:szCs w:val="28"/>
        </w:rPr>
      </w:pPr>
      <w:r w:rsidRPr="002941FD">
        <w:rPr>
          <w:b/>
          <w:sz w:val="28"/>
          <w:szCs w:val="28"/>
        </w:rPr>
        <w:t>Stakeholder Matrix</w:t>
      </w:r>
    </w:p>
    <w:p w:rsidR="000F471F" w:rsidRDefault="000F471F" w:rsidP="000F471F">
      <w:pPr>
        <w:jc w:val="center"/>
      </w:pPr>
    </w:p>
    <w:tbl>
      <w:tblPr>
        <w:tblStyle w:val="TableGrid"/>
        <w:tblW w:w="0" w:type="auto"/>
        <w:tblLook w:val="04A0"/>
      </w:tblPr>
      <w:tblGrid>
        <w:gridCol w:w="2405"/>
        <w:gridCol w:w="851"/>
        <w:gridCol w:w="2693"/>
        <w:gridCol w:w="1843"/>
        <w:gridCol w:w="2835"/>
        <w:gridCol w:w="2693"/>
      </w:tblGrid>
      <w:tr w:rsidR="000F471F" w:rsidTr="001C6EDE">
        <w:tc>
          <w:tcPr>
            <w:tcW w:w="2405" w:type="dxa"/>
            <w:shd w:val="clear" w:color="auto" w:fill="DEEAF6" w:themeFill="accent5" w:themeFillTint="33"/>
          </w:tcPr>
          <w:p w:rsidR="000F471F" w:rsidRPr="002941FD" w:rsidRDefault="000F471F" w:rsidP="001C6EDE">
            <w:pPr>
              <w:jc w:val="center"/>
              <w:rPr>
                <w:b/>
              </w:rPr>
            </w:pPr>
            <w:r w:rsidRPr="002941FD">
              <w:rPr>
                <w:b/>
              </w:rPr>
              <w:t>Stakeholder</w:t>
            </w:r>
          </w:p>
        </w:tc>
        <w:tc>
          <w:tcPr>
            <w:tcW w:w="851" w:type="dxa"/>
            <w:shd w:val="clear" w:color="auto" w:fill="DEEAF6" w:themeFill="accent5" w:themeFillTint="33"/>
          </w:tcPr>
          <w:p w:rsidR="000F471F" w:rsidRPr="002941FD" w:rsidRDefault="000F471F" w:rsidP="001C6EDE">
            <w:pPr>
              <w:jc w:val="center"/>
              <w:rPr>
                <w:b/>
              </w:rPr>
            </w:pPr>
            <w:r w:rsidRPr="002941FD">
              <w:rPr>
                <w:b/>
              </w:rPr>
              <w:t>Coding</w:t>
            </w:r>
          </w:p>
        </w:tc>
        <w:tc>
          <w:tcPr>
            <w:tcW w:w="2693" w:type="dxa"/>
            <w:shd w:val="clear" w:color="auto" w:fill="DEEAF6" w:themeFill="accent5" w:themeFillTint="33"/>
          </w:tcPr>
          <w:p w:rsidR="000F471F" w:rsidRPr="002941FD" w:rsidRDefault="000F471F" w:rsidP="001C6EDE">
            <w:pPr>
              <w:jc w:val="center"/>
              <w:rPr>
                <w:b/>
              </w:rPr>
            </w:pPr>
            <w:r w:rsidRPr="002941FD">
              <w:rPr>
                <w:b/>
              </w:rPr>
              <w:t>Areas of influence /interest</w:t>
            </w:r>
          </w:p>
        </w:tc>
        <w:tc>
          <w:tcPr>
            <w:tcW w:w="1843" w:type="dxa"/>
            <w:shd w:val="clear" w:color="auto" w:fill="DEEAF6" w:themeFill="accent5" w:themeFillTint="33"/>
          </w:tcPr>
          <w:p w:rsidR="000F471F" w:rsidRPr="002941FD" w:rsidRDefault="000F471F" w:rsidP="001C6EDE">
            <w:pPr>
              <w:jc w:val="center"/>
              <w:rPr>
                <w:b/>
              </w:rPr>
            </w:pPr>
            <w:r w:rsidRPr="002941FD">
              <w:rPr>
                <w:b/>
              </w:rPr>
              <w:t>Engagement Approach</w:t>
            </w:r>
          </w:p>
        </w:tc>
        <w:tc>
          <w:tcPr>
            <w:tcW w:w="2835" w:type="dxa"/>
            <w:shd w:val="clear" w:color="auto" w:fill="DEEAF6" w:themeFill="accent5" w:themeFillTint="33"/>
          </w:tcPr>
          <w:p w:rsidR="000F471F" w:rsidRPr="002941FD" w:rsidRDefault="000F471F" w:rsidP="001C6EDE">
            <w:pPr>
              <w:jc w:val="center"/>
              <w:rPr>
                <w:b/>
              </w:rPr>
            </w:pPr>
            <w:r w:rsidRPr="002941FD">
              <w:rPr>
                <w:b/>
              </w:rPr>
              <w:t>Engagement Tools</w:t>
            </w:r>
          </w:p>
        </w:tc>
        <w:tc>
          <w:tcPr>
            <w:tcW w:w="2693" w:type="dxa"/>
            <w:shd w:val="clear" w:color="auto" w:fill="DEEAF6" w:themeFill="accent5" w:themeFillTint="33"/>
          </w:tcPr>
          <w:p w:rsidR="000F471F" w:rsidRPr="002941FD" w:rsidRDefault="000F471F" w:rsidP="001C6EDE">
            <w:pPr>
              <w:jc w:val="center"/>
              <w:rPr>
                <w:b/>
              </w:rPr>
            </w:pPr>
            <w:r w:rsidRPr="002941FD">
              <w:rPr>
                <w:b/>
              </w:rPr>
              <w:t>Frequency</w:t>
            </w:r>
          </w:p>
        </w:tc>
      </w:tr>
      <w:tr w:rsidR="000F471F" w:rsidTr="001C6EDE">
        <w:tc>
          <w:tcPr>
            <w:tcW w:w="2405" w:type="dxa"/>
          </w:tcPr>
          <w:p w:rsidR="000F471F" w:rsidRDefault="000F471F" w:rsidP="001C6EDE"/>
          <w:p w:rsidR="000F471F" w:rsidRDefault="000F471F" w:rsidP="001C6EDE">
            <w:r>
              <w:t>Members</w:t>
            </w:r>
          </w:p>
        </w:tc>
        <w:tc>
          <w:tcPr>
            <w:tcW w:w="851" w:type="dxa"/>
            <w:shd w:val="clear" w:color="auto" w:fill="FF0000"/>
          </w:tcPr>
          <w:p w:rsidR="000F471F" w:rsidRDefault="000F471F" w:rsidP="001C6EDE"/>
        </w:tc>
        <w:tc>
          <w:tcPr>
            <w:tcW w:w="2693" w:type="dxa"/>
          </w:tcPr>
          <w:p w:rsidR="000F471F" w:rsidRDefault="000F471F" w:rsidP="001C6EDE"/>
          <w:p w:rsidR="000F471F" w:rsidRDefault="000F471F" w:rsidP="001C6EDE">
            <w:r>
              <w:t>Governance, strategy, competitions, licensing &amp; insurance</w:t>
            </w:r>
          </w:p>
        </w:tc>
        <w:tc>
          <w:tcPr>
            <w:tcW w:w="1843" w:type="dxa"/>
          </w:tcPr>
          <w:p w:rsidR="000F471F" w:rsidRDefault="000F471F" w:rsidP="000F471F">
            <w:pPr>
              <w:jc w:val="center"/>
            </w:pPr>
          </w:p>
          <w:p w:rsidR="000F471F" w:rsidRDefault="000F471F" w:rsidP="000F471F">
            <w:pPr>
              <w:jc w:val="center"/>
            </w:pPr>
            <w:r>
              <w:t>Consult</w:t>
            </w:r>
          </w:p>
        </w:tc>
        <w:tc>
          <w:tcPr>
            <w:tcW w:w="2835" w:type="dxa"/>
          </w:tcPr>
          <w:p w:rsidR="000F471F" w:rsidRDefault="000F471F" w:rsidP="001C6EDE"/>
          <w:p w:rsidR="000F471F" w:rsidRDefault="000F471F" w:rsidP="001C6EDE">
            <w:r>
              <w:t>AGM, website, &amp; emails</w:t>
            </w:r>
          </w:p>
        </w:tc>
        <w:tc>
          <w:tcPr>
            <w:tcW w:w="2693" w:type="dxa"/>
          </w:tcPr>
          <w:p w:rsidR="000F471F" w:rsidRDefault="000F471F" w:rsidP="001C6EDE">
            <w:pPr>
              <w:jc w:val="center"/>
            </w:pPr>
          </w:p>
          <w:p w:rsidR="000F471F" w:rsidRDefault="000F471F" w:rsidP="001C6EDE">
            <w:pPr>
              <w:jc w:val="center"/>
            </w:pPr>
            <w:r>
              <w:t>Very frequent</w:t>
            </w:r>
          </w:p>
        </w:tc>
      </w:tr>
      <w:tr w:rsidR="000F471F" w:rsidTr="001C6EDE">
        <w:tc>
          <w:tcPr>
            <w:tcW w:w="2405" w:type="dxa"/>
          </w:tcPr>
          <w:p w:rsidR="000F471F" w:rsidRDefault="000F471F" w:rsidP="001C6EDE"/>
          <w:p w:rsidR="000F471F" w:rsidRDefault="000F471F" w:rsidP="001C6EDE">
            <w:r>
              <w:t>Home country sport councils</w:t>
            </w:r>
          </w:p>
          <w:p w:rsidR="000F471F" w:rsidRDefault="000F471F" w:rsidP="001C6EDE"/>
        </w:tc>
        <w:tc>
          <w:tcPr>
            <w:tcW w:w="851" w:type="dxa"/>
            <w:shd w:val="clear" w:color="auto" w:fill="FFC000"/>
          </w:tcPr>
          <w:p w:rsidR="000F471F" w:rsidRDefault="000F471F" w:rsidP="001C6EDE"/>
        </w:tc>
        <w:tc>
          <w:tcPr>
            <w:tcW w:w="2693" w:type="dxa"/>
          </w:tcPr>
          <w:p w:rsidR="000F471F" w:rsidRDefault="000F471F" w:rsidP="001C6EDE"/>
          <w:p w:rsidR="000F471F" w:rsidRDefault="000F471F" w:rsidP="001C6EDE">
            <w:r>
              <w:t>Leadership &amp; development</w:t>
            </w:r>
          </w:p>
        </w:tc>
        <w:tc>
          <w:tcPr>
            <w:tcW w:w="1843" w:type="dxa"/>
          </w:tcPr>
          <w:p w:rsidR="000F471F" w:rsidRDefault="000F471F" w:rsidP="000F471F">
            <w:pPr>
              <w:jc w:val="center"/>
            </w:pPr>
          </w:p>
          <w:p w:rsidR="000F471F" w:rsidRDefault="000F471F" w:rsidP="000F471F">
            <w:pPr>
              <w:jc w:val="center"/>
            </w:pPr>
            <w:r>
              <w:t>Consult</w:t>
            </w:r>
          </w:p>
        </w:tc>
        <w:tc>
          <w:tcPr>
            <w:tcW w:w="2835" w:type="dxa"/>
          </w:tcPr>
          <w:p w:rsidR="000F471F" w:rsidRDefault="000F471F" w:rsidP="001C6EDE"/>
          <w:p w:rsidR="000F471F" w:rsidRDefault="000F471F" w:rsidP="001C6EDE">
            <w:r>
              <w:t>Face to face, &amp; emails</w:t>
            </w:r>
          </w:p>
        </w:tc>
        <w:tc>
          <w:tcPr>
            <w:tcW w:w="2693" w:type="dxa"/>
          </w:tcPr>
          <w:p w:rsidR="000F471F" w:rsidRDefault="000F471F" w:rsidP="001C6EDE">
            <w:pPr>
              <w:jc w:val="center"/>
            </w:pPr>
          </w:p>
          <w:p w:rsidR="000F471F" w:rsidRDefault="000F471F" w:rsidP="001C6EDE">
            <w:pPr>
              <w:jc w:val="center"/>
            </w:pPr>
            <w:r>
              <w:t>More Frequent</w:t>
            </w:r>
          </w:p>
        </w:tc>
      </w:tr>
      <w:tr w:rsidR="000F471F" w:rsidTr="001C6EDE">
        <w:tc>
          <w:tcPr>
            <w:tcW w:w="2405" w:type="dxa"/>
          </w:tcPr>
          <w:p w:rsidR="000F471F" w:rsidRDefault="000F471F" w:rsidP="001C6EDE">
            <w:r>
              <w:t xml:space="preserve"> </w:t>
            </w:r>
          </w:p>
          <w:p w:rsidR="000F471F" w:rsidRDefault="000F471F" w:rsidP="001C6EDE">
            <w:r>
              <w:t>UK Sport</w:t>
            </w:r>
          </w:p>
        </w:tc>
        <w:tc>
          <w:tcPr>
            <w:tcW w:w="851" w:type="dxa"/>
            <w:shd w:val="clear" w:color="auto" w:fill="FFD966" w:themeFill="accent4" w:themeFillTint="99"/>
          </w:tcPr>
          <w:p w:rsidR="000F471F" w:rsidRPr="00DC4323" w:rsidRDefault="000F471F" w:rsidP="001C6EDE">
            <w:pPr>
              <w:rPr>
                <w:color w:val="FF0000"/>
              </w:rPr>
            </w:pPr>
          </w:p>
        </w:tc>
        <w:tc>
          <w:tcPr>
            <w:tcW w:w="2693" w:type="dxa"/>
          </w:tcPr>
          <w:p w:rsidR="000F471F" w:rsidRDefault="000F471F" w:rsidP="001C6EDE">
            <w:r>
              <w:t xml:space="preserve"> </w:t>
            </w:r>
          </w:p>
          <w:p w:rsidR="000F471F" w:rsidRDefault="000F471F" w:rsidP="001C6EDE">
            <w:r>
              <w:t xml:space="preserve">Funding &amp; </w:t>
            </w:r>
          </w:p>
          <w:p w:rsidR="000F471F" w:rsidRDefault="000F471F" w:rsidP="001C6EDE">
            <w:r>
              <w:t xml:space="preserve"> Governance Compliance</w:t>
            </w:r>
          </w:p>
          <w:p w:rsidR="000F471F" w:rsidRDefault="000F471F" w:rsidP="001C6EDE"/>
        </w:tc>
        <w:tc>
          <w:tcPr>
            <w:tcW w:w="1843" w:type="dxa"/>
          </w:tcPr>
          <w:p w:rsidR="000F471F" w:rsidRDefault="000F471F" w:rsidP="000F471F">
            <w:pPr>
              <w:jc w:val="center"/>
            </w:pPr>
          </w:p>
          <w:p w:rsidR="000F471F" w:rsidRDefault="000F471F" w:rsidP="000F471F">
            <w:pPr>
              <w:jc w:val="center"/>
            </w:pPr>
            <w:r>
              <w:t>Consult</w:t>
            </w:r>
          </w:p>
        </w:tc>
        <w:tc>
          <w:tcPr>
            <w:tcW w:w="2835" w:type="dxa"/>
          </w:tcPr>
          <w:p w:rsidR="000F471F" w:rsidRDefault="000F471F" w:rsidP="001C6EDE">
            <w:r>
              <w:t xml:space="preserve"> </w:t>
            </w:r>
          </w:p>
          <w:p w:rsidR="000F471F" w:rsidRDefault="000F471F" w:rsidP="001C6EDE">
            <w:r>
              <w:t>Face to face &amp; emails</w:t>
            </w:r>
          </w:p>
        </w:tc>
        <w:tc>
          <w:tcPr>
            <w:tcW w:w="2693" w:type="dxa"/>
          </w:tcPr>
          <w:p w:rsidR="000F471F" w:rsidRDefault="000F471F" w:rsidP="001C6EDE">
            <w:pPr>
              <w:jc w:val="center"/>
            </w:pPr>
          </w:p>
          <w:p w:rsidR="000F471F" w:rsidRDefault="000F471F" w:rsidP="001C6EDE">
            <w:pPr>
              <w:jc w:val="center"/>
            </w:pPr>
            <w:r>
              <w:t>Frequent</w:t>
            </w:r>
          </w:p>
        </w:tc>
      </w:tr>
      <w:tr w:rsidR="000F471F" w:rsidTr="001C6EDE">
        <w:tc>
          <w:tcPr>
            <w:tcW w:w="2405" w:type="dxa"/>
          </w:tcPr>
          <w:p w:rsidR="000F471F" w:rsidRDefault="000F471F" w:rsidP="001C6EDE"/>
          <w:p w:rsidR="000F471F" w:rsidRDefault="000F471F" w:rsidP="001C6EDE">
            <w:r>
              <w:t>World &amp; European Karate Federations</w:t>
            </w:r>
          </w:p>
        </w:tc>
        <w:tc>
          <w:tcPr>
            <w:tcW w:w="851" w:type="dxa"/>
            <w:shd w:val="clear" w:color="auto" w:fill="A8D08D" w:themeFill="accent6" w:themeFillTint="99"/>
          </w:tcPr>
          <w:p w:rsidR="000F471F" w:rsidRPr="00DC4323" w:rsidRDefault="000F471F" w:rsidP="001C6EDE">
            <w:pPr>
              <w:rPr>
                <w:color w:val="FF0000"/>
              </w:rPr>
            </w:pPr>
          </w:p>
        </w:tc>
        <w:tc>
          <w:tcPr>
            <w:tcW w:w="2693" w:type="dxa"/>
          </w:tcPr>
          <w:p w:rsidR="000F471F" w:rsidRDefault="000F471F" w:rsidP="001C6EDE"/>
          <w:p w:rsidR="000F471F" w:rsidRDefault="000F471F" w:rsidP="001C6EDE">
            <w:r>
              <w:t>Competition, regulations and political oversight</w:t>
            </w:r>
          </w:p>
          <w:p w:rsidR="000F471F" w:rsidRDefault="000F471F" w:rsidP="001C6EDE"/>
        </w:tc>
        <w:tc>
          <w:tcPr>
            <w:tcW w:w="1843" w:type="dxa"/>
          </w:tcPr>
          <w:p w:rsidR="000F471F" w:rsidRDefault="000F471F" w:rsidP="000F471F">
            <w:pPr>
              <w:jc w:val="center"/>
            </w:pPr>
          </w:p>
          <w:p w:rsidR="000F471F" w:rsidRDefault="000F471F" w:rsidP="000F471F">
            <w:pPr>
              <w:jc w:val="center"/>
            </w:pPr>
            <w:r>
              <w:t>Consult</w:t>
            </w:r>
          </w:p>
        </w:tc>
        <w:tc>
          <w:tcPr>
            <w:tcW w:w="2835" w:type="dxa"/>
          </w:tcPr>
          <w:p w:rsidR="000F471F" w:rsidRDefault="000F471F" w:rsidP="001C6EDE"/>
          <w:p w:rsidR="000F471F" w:rsidRDefault="000F471F" w:rsidP="001C6EDE">
            <w:r>
              <w:t>World Congress, emails</w:t>
            </w:r>
          </w:p>
        </w:tc>
        <w:tc>
          <w:tcPr>
            <w:tcW w:w="2693" w:type="dxa"/>
          </w:tcPr>
          <w:p w:rsidR="000F471F" w:rsidRDefault="000F471F" w:rsidP="001C6EDE">
            <w:pPr>
              <w:jc w:val="center"/>
            </w:pPr>
          </w:p>
          <w:p w:rsidR="000F471F" w:rsidRDefault="000F471F" w:rsidP="001C6EDE">
            <w:pPr>
              <w:jc w:val="center"/>
            </w:pPr>
            <w:r>
              <w:t>Less frequent</w:t>
            </w:r>
          </w:p>
        </w:tc>
      </w:tr>
      <w:tr w:rsidR="000F471F" w:rsidTr="001C6EDE">
        <w:tc>
          <w:tcPr>
            <w:tcW w:w="2405" w:type="dxa"/>
          </w:tcPr>
          <w:p w:rsidR="000F471F" w:rsidRDefault="000F471F" w:rsidP="001C6EDE">
            <w:r>
              <w:t xml:space="preserve"> </w:t>
            </w:r>
          </w:p>
          <w:p w:rsidR="000F471F" w:rsidRDefault="000F471F" w:rsidP="001C6EDE">
            <w:r>
              <w:t>Sponsors &amp; suppliers</w:t>
            </w:r>
          </w:p>
        </w:tc>
        <w:tc>
          <w:tcPr>
            <w:tcW w:w="851" w:type="dxa"/>
            <w:shd w:val="clear" w:color="auto" w:fill="538135" w:themeFill="accent6" w:themeFillShade="BF"/>
          </w:tcPr>
          <w:p w:rsidR="000F471F" w:rsidRPr="00DC4323" w:rsidRDefault="000F471F" w:rsidP="001C6EDE">
            <w:pPr>
              <w:rPr>
                <w:color w:val="FF0000"/>
              </w:rPr>
            </w:pPr>
          </w:p>
        </w:tc>
        <w:tc>
          <w:tcPr>
            <w:tcW w:w="2693" w:type="dxa"/>
          </w:tcPr>
          <w:p w:rsidR="000F471F" w:rsidRDefault="000F471F" w:rsidP="001C6EDE"/>
          <w:p w:rsidR="000F471F" w:rsidRDefault="000F471F" w:rsidP="001C6EDE">
            <w:r>
              <w:t>Competitions &amp; competitors</w:t>
            </w:r>
          </w:p>
          <w:p w:rsidR="000F471F" w:rsidRDefault="000F471F" w:rsidP="001C6EDE"/>
          <w:p w:rsidR="000F471F" w:rsidRDefault="000F471F" w:rsidP="001C6EDE"/>
        </w:tc>
        <w:tc>
          <w:tcPr>
            <w:tcW w:w="1843" w:type="dxa"/>
          </w:tcPr>
          <w:p w:rsidR="000F471F" w:rsidRDefault="000F471F" w:rsidP="000F471F">
            <w:pPr>
              <w:jc w:val="center"/>
            </w:pPr>
          </w:p>
          <w:p w:rsidR="000F471F" w:rsidRDefault="000F471F" w:rsidP="000F471F">
            <w:pPr>
              <w:jc w:val="center"/>
            </w:pPr>
            <w:r>
              <w:t>Consult</w:t>
            </w:r>
          </w:p>
        </w:tc>
        <w:tc>
          <w:tcPr>
            <w:tcW w:w="2835" w:type="dxa"/>
          </w:tcPr>
          <w:p w:rsidR="000F471F" w:rsidRDefault="000F471F" w:rsidP="001C6EDE"/>
          <w:p w:rsidR="000F471F" w:rsidRDefault="000F471F" w:rsidP="001C6EDE">
            <w:r>
              <w:t>Face to face &amp; emails</w:t>
            </w:r>
          </w:p>
        </w:tc>
        <w:tc>
          <w:tcPr>
            <w:tcW w:w="2693" w:type="dxa"/>
          </w:tcPr>
          <w:p w:rsidR="000F471F" w:rsidRDefault="000F471F" w:rsidP="001C6EDE">
            <w:pPr>
              <w:jc w:val="center"/>
            </w:pPr>
          </w:p>
          <w:p w:rsidR="000F471F" w:rsidRDefault="000F471F" w:rsidP="001C6EDE">
            <w:pPr>
              <w:jc w:val="center"/>
            </w:pPr>
            <w:r>
              <w:t>Occasional</w:t>
            </w:r>
          </w:p>
        </w:tc>
      </w:tr>
    </w:tbl>
    <w:p w:rsidR="000F471F" w:rsidRDefault="000F471F" w:rsidP="000F471F"/>
    <w:sectPr w:rsidR="000F471F" w:rsidSect="000F471F">
      <w:pgSz w:w="16838" w:h="11906" w:orient="landscape"/>
      <w:pgMar w:top="851"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1266"/>
    <w:rsid w:val="00051BE5"/>
    <w:rsid w:val="000F471F"/>
    <w:rsid w:val="002549DB"/>
    <w:rsid w:val="004C0E12"/>
    <w:rsid w:val="007208A1"/>
    <w:rsid w:val="00A11266"/>
    <w:rsid w:val="00C21825"/>
    <w:rsid w:val="00CC2A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266"/>
    <w:rPr>
      <w:rFonts w:ascii="Segoe UI" w:hAnsi="Segoe UI" w:cs="Segoe UI"/>
      <w:sz w:val="18"/>
      <w:szCs w:val="18"/>
    </w:rPr>
  </w:style>
  <w:style w:type="table" w:styleId="TableGrid">
    <w:name w:val="Table Grid"/>
    <w:basedOn w:val="TableNormal"/>
    <w:uiPriority w:val="39"/>
    <w:rsid w:val="000F4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williams</dc:creator>
  <cp:lastModifiedBy>Mark Sell</cp:lastModifiedBy>
  <cp:revision>1</cp:revision>
  <cp:lastPrinted>2019-05-03T16:51:00Z</cp:lastPrinted>
  <dcterms:created xsi:type="dcterms:W3CDTF">2019-09-26T18:49:00Z</dcterms:created>
  <dcterms:modified xsi:type="dcterms:W3CDTF">2019-09-26T18:49:00Z</dcterms:modified>
</cp:coreProperties>
</file>